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38" w:rsidRPr="00AA4ADB" w:rsidRDefault="00335D38" w:rsidP="00AA4ADB">
      <w:pPr>
        <w:jc w:val="center"/>
        <w:rPr>
          <w:b/>
          <w:bCs/>
          <w:sz w:val="28"/>
          <w:szCs w:val="28"/>
        </w:rPr>
      </w:pPr>
      <w:r w:rsidRPr="000E3EBC">
        <w:rPr>
          <w:b/>
          <w:bCs/>
          <w:sz w:val="28"/>
          <w:szCs w:val="28"/>
        </w:rPr>
        <w:t xml:space="preserve"> </w:t>
      </w:r>
      <w:r w:rsidRPr="00AA4ADB">
        <w:rPr>
          <w:b/>
          <w:bCs/>
          <w:sz w:val="28"/>
          <w:szCs w:val="28"/>
        </w:rPr>
        <w:t xml:space="preserve">О порядке заполнения формы </w:t>
      </w:r>
    </w:p>
    <w:p w:rsidR="00335D38" w:rsidRPr="00AA4ADB" w:rsidRDefault="00335D38" w:rsidP="00AA4ADB">
      <w:pPr>
        <w:jc w:val="center"/>
        <w:rPr>
          <w:b/>
          <w:bCs/>
          <w:sz w:val="28"/>
          <w:szCs w:val="28"/>
        </w:rPr>
      </w:pPr>
      <w:r w:rsidRPr="00AA4ADB">
        <w:rPr>
          <w:b/>
          <w:bCs/>
          <w:sz w:val="28"/>
          <w:szCs w:val="28"/>
        </w:rPr>
        <w:t xml:space="preserve">федерального статистического наблюдения </w:t>
      </w:r>
    </w:p>
    <w:p w:rsidR="00335D38" w:rsidRDefault="00335D38" w:rsidP="00AA4ADB">
      <w:pPr>
        <w:jc w:val="center"/>
        <w:rPr>
          <w:b/>
          <w:bCs/>
          <w:sz w:val="28"/>
          <w:szCs w:val="28"/>
        </w:rPr>
      </w:pPr>
      <w:r w:rsidRPr="00AA4ADB">
        <w:rPr>
          <w:b/>
          <w:bCs/>
          <w:sz w:val="28"/>
          <w:szCs w:val="28"/>
        </w:rPr>
        <w:t xml:space="preserve">№ П-1 «Сведения о производстве и отгрузке товаров и услуг» </w:t>
      </w:r>
    </w:p>
    <w:p w:rsidR="00335D38" w:rsidRPr="00AA4ADB" w:rsidRDefault="00335D38" w:rsidP="00AA4ADB">
      <w:pPr>
        <w:jc w:val="center"/>
        <w:rPr>
          <w:b/>
          <w:bCs/>
          <w:sz w:val="28"/>
          <w:szCs w:val="28"/>
        </w:rPr>
      </w:pP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В 2024 году респонденты ежемесячно предоставляют отчеты по форме федерального статистического наблюдения № П-1 «Сведения о производстве и отгрузке товаров и услуг» (</w:t>
      </w:r>
      <w:r w:rsidRPr="00AA4ADB">
        <w:rPr>
          <w:i/>
          <w:iCs/>
          <w:sz w:val="28"/>
          <w:szCs w:val="28"/>
        </w:rPr>
        <w:t>далее – Форма</w:t>
      </w:r>
      <w:r w:rsidRPr="00AA4ADB">
        <w:rPr>
          <w:sz w:val="28"/>
          <w:szCs w:val="28"/>
        </w:rPr>
        <w:t xml:space="preserve">) со сроком предоставления </w:t>
      </w:r>
      <w:r w:rsidRPr="00AA4ADB">
        <w:rPr>
          <w:b/>
          <w:bCs/>
          <w:sz w:val="28"/>
          <w:szCs w:val="28"/>
        </w:rPr>
        <w:t>с 1-го по</w:t>
      </w:r>
      <w:r w:rsidRPr="00AA4ADB">
        <w:rPr>
          <w:sz w:val="28"/>
          <w:szCs w:val="28"/>
        </w:rPr>
        <w:t xml:space="preserve"> </w:t>
      </w:r>
      <w:r w:rsidRPr="00AA4ADB">
        <w:rPr>
          <w:b/>
          <w:bCs/>
          <w:sz w:val="28"/>
          <w:szCs w:val="28"/>
        </w:rPr>
        <w:t xml:space="preserve">10 рабочий день после отчетного периода, </w:t>
      </w:r>
      <w:r w:rsidRPr="00AA4ADB">
        <w:rPr>
          <w:sz w:val="28"/>
          <w:szCs w:val="28"/>
        </w:rPr>
        <w:t>на бланке, утвержденном приказом Росстата от 31.07.2023 № 365.</w:t>
      </w:r>
    </w:p>
    <w:p w:rsidR="00335D38" w:rsidRDefault="00335D38" w:rsidP="00086884">
      <w:pPr>
        <w:widowControl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С б</w:t>
      </w:r>
      <w:r w:rsidRPr="00A83444">
        <w:rPr>
          <w:sz w:val="28"/>
          <w:szCs w:val="28"/>
        </w:rPr>
        <w:t>ланк</w:t>
      </w:r>
      <w:r>
        <w:rPr>
          <w:sz w:val="28"/>
          <w:szCs w:val="28"/>
        </w:rPr>
        <w:t>ом</w:t>
      </w:r>
      <w:r w:rsidRPr="00A83444">
        <w:rPr>
          <w:sz w:val="28"/>
          <w:szCs w:val="28"/>
        </w:rPr>
        <w:t xml:space="preserve"> формы</w:t>
      </w:r>
      <w:r>
        <w:rPr>
          <w:sz w:val="28"/>
          <w:szCs w:val="28"/>
        </w:rPr>
        <w:t xml:space="preserve"> и Указаниями по заполнению можно ознакомиться</w:t>
      </w:r>
      <w:r w:rsidRPr="00A83444">
        <w:rPr>
          <w:sz w:val="28"/>
          <w:szCs w:val="28"/>
        </w:rPr>
        <w:t xml:space="preserve"> на официальном сайте Росстата </w:t>
      </w:r>
      <w:r>
        <w:rPr>
          <w:sz w:val="28"/>
          <w:szCs w:val="28"/>
        </w:rPr>
        <w:t>(</w:t>
      </w:r>
      <w:r w:rsidRPr="00086884">
        <w:rPr>
          <w:sz w:val="28"/>
          <w:szCs w:val="28"/>
          <w:u w:val="single"/>
        </w:rPr>
        <w:t>https://rosstat.gov.ru</w:t>
      </w:r>
      <w:r w:rsidRPr="00086884">
        <w:rPr>
          <w:sz w:val="28"/>
          <w:szCs w:val="28"/>
        </w:rPr>
        <w:t>/</w:t>
      </w:r>
      <w:r>
        <w:t>)</w:t>
      </w:r>
      <w:r>
        <w:rPr>
          <w:sz w:val="28"/>
          <w:szCs w:val="28"/>
        </w:rPr>
        <w:t xml:space="preserve"> </w:t>
      </w:r>
      <w:r w:rsidRPr="00A83444">
        <w:rPr>
          <w:sz w:val="28"/>
          <w:szCs w:val="28"/>
        </w:rPr>
        <w:t>в разделе</w:t>
      </w:r>
      <w:r>
        <w:rPr>
          <w:sz w:val="28"/>
          <w:szCs w:val="28"/>
        </w:rPr>
        <w:t>:</w:t>
      </w:r>
      <w:r w:rsidRPr="00A83444">
        <w:rPr>
          <w:sz w:val="28"/>
          <w:szCs w:val="28"/>
        </w:rPr>
        <w:t xml:space="preserve"> Респондентам/</w:t>
      </w:r>
      <w:r>
        <w:rPr>
          <w:sz w:val="28"/>
          <w:szCs w:val="28"/>
        </w:rPr>
        <w:t xml:space="preserve"> </w:t>
      </w:r>
      <w:r w:rsidRPr="00A83444">
        <w:rPr>
          <w:sz w:val="28"/>
          <w:szCs w:val="28"/>
        </w:rPr>
        <w:t>Формы федерального статистического наблюдения и формы бухгалтерской (финансовой) отчетности/</w:t>
      </w:r>
      <w:r>
        <w:rPr>
          <w:sz w:val="28"/>
          <w:szCs w:val="28"/>
        </w:rPr>
        <w:t xml:space="preserve"> </w:t>
      </w:r>
      <w:r w:rsidRPr="00A83444">
        <w:rPr>
          <w:sz w:val="28"/>
          <w:szCs w:val="28"/>
        </w:rPr>
        <w:t>Альбом форм федераль</w:t>
      </w:r>
      <w:r>
        <w:rPr>
          <w:sz w:val="28"/>
          <w:szCs w:val="28"/>
        </w:rPr>
        <w:t>ного статистического наблюдения/ П-1. На сайте Луганскстата (</w:t>
      </w:r>
      <w:r w:rsidRPr="00086884">
        <w:rPr>
          <w:sz w:val="28"/>
          <w:szCs w:val="28"/>
          <w:u w:val="single"/>
        </w:rPr>
        <w:t>https://81.rosstat.gov.ru/</w:t>
      </w:r>
      <w:r>
        <w:rPr>
          <w:sz w:val="28"/>
          <w:szCs w:val="28"/>
          <w:u w:val="single"/>
        </w:rPr>
        <w:t>)</w:t>
      </w:r>
      <w:r>
        <w:t xml:space="preserve"> </w:t>
      </w:r>
      <w:r w:rsidRPr="00086884">
        <w:rPr>
          <w:sz w:val="28"/>
          <w:szCs w:val="28"/>
        </w:rPr>
        <w:t>реализован сервис</w:t>
      </w:r>
      <w:r>
        <w:t xml:space="preserve"> «</w:t>
      </w:r>
      <w:r w:rsidRPr="00A83444">
        <w:rPr>
          <w:sz w:val="28"/>
          <w:szCs w:val="28"/>
        </w:rPr>
        <w:t>Респондентам/</w:t>
      </w:r>
      <w:r>
        <w:rPr>
          <w:sz w:val="28"/>
          <w:szCs w:val="28"/>
        </w:rPr>
        <w:t xml:space="preserve"> </w:t>
      </w:r>
      <w:r w:rsidRPr="00A83444">
        <w:rPr>
          <w:sz w:val="28"/>
          <w:szCs w:val="28"/>
        </w:rPr>
        <w:t>Формы федерального статистического наблюдения и формы бухгалтерской (финансовой) отчетности/</w:t>
      </w:r>
      <w:r>
        <w:rPr>
          <w:sz w:val="28"/>
          <w:szCs w:val="28"/>
        </w:rPr>
        <w:t xml:space="preserve"> Индивидуальный перечень форм по ИНН/ ОГРН (ОГРГИП)/ ОКПО», позволяющий предприятиям и организациям получить перечень форм </w:t>
      </w:r>
      <w:r w:rsidRPr="00AA4ADB">
        <w:rPr>
          <w:sz w:val="28"/>
          <w:szCs w:val="28"/>
        </w:rPr>
        <w:t>федерального статистического наблюдения</w:t>
      </w:r>
      <w:r>
        <w:rPr>
          <w:sz w:val="28"/>
          <w:szCs w:val="28"/>
        </w:rPr>
        <w:t>, необходимый для представления в Луганскстат.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При заполнении показателей формы следует руководствоваться Указаниями по заполнению форм федерального статистического наблюдения №№ П-1, П-5(м), утвержденных приказом Росстата от 26.12.2023 № 693. </w:t>
      </w:r>
    </w:p>
    <w:p w:rsidR="00335D38" w:rsidRPr="00AA4ADB" w:rsidRDefault="00335D38" w:rsidP="00AA4ADB">
      <w:pPr>
        <w:widowControl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В случае отсутствия наблюдаемого явления предоставление формы, не заполненной значениями показателей («пустой отчет»), </w:t>
      </w:r>
      <w:r w:rsidRPr="00AA4ADB">
        <w:rPr>
          <w:i/>
          <w:iCs/>
          <w:sz w:val="28"/>
          <w:szCs w:val="28"/>
        </w:rPr>
        <w:t>не требуется.</w:t>
      </w:r>
      <w:r w:rsidRPr="00AA4ADB">
        <w:rPr>
          <w:sz w:val="28"/>
          <w:szCs w:val="28"/>
        </w:rPr>
        <w:t xml:space="preserve"> 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В соответствии с Указаниями, при наличии у юридического лица обособленных подразделений форма заполняется как по каждому обособленному подразделению (за исключением осуществляющих деятельность за пределами Российской Федерации), так и по юридическому лицу без этих обособленных подразделений. Форма по головному подразделению предоставляется с 14-значным идентификационным кодом (с окончанием на «430001»). Сводный отчет в целом по юридическому лицу не предоставляется.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Перечень территориально-обособленных подразделений (далее ТОСП) Вашей организации, по которым предоставляются отчеты по форме №П-1, должен соответствовать перечню ТОСП, по которым предоставляются отчеты по форме № П-4 «Сведения о численности и заработной плате  работников»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b/>
          <w:bCs/>
          <w:i/>
          <w:iCs/>
          <w:sz w:val="28"/>
          <w:szCs w:val="28"/>
        </w:rPr>
        <w:t>Раздел 1</w:t>
      </w:r>
      <w:r w:rsidRPr="00AA4ADB">
        <w:rPr>
          <w:sz w:val="28"/>
          <w:szCs w:val="28"/>
        </w:rPr>
        <w:t xml:space="preserve"> «Общие экономические показатели» формы (</w:t>
      </w:r>
      <w:r w:rsidRPr="00AA4ADB">
        <w:rPr>
          <w:b/>
          <w:bCs/>
          <w:i/>
          <w:iCs/>
          <w:sz w:val="28"/>
          <w:szCs w:val="28"/>
        </w:rPr>
        <w:t>далее – раздел 1</w:t>
      </w:r>
      <w:r w:rsidRPr="00AA4ADB">
        <w:rPr>
          <w:sz w:val="28"/>
          <w:szCs w:val="28"/>
        </w:rPr>
        <w:t>) состоит из 2 подразделов:</w:t>
      </w:r>
    </w:p>
    <w:p w:rsidR="00335D38" w:rsidRPr="00AA4ADB" w:rsidRDefault="00335D38" w:rsidP="00AA4ADB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ADB">
        <w:rPr>
          <w:b/>
          <w:bCs/>
          <w:i/>
          <w:iCs/>
          <w:sz w:val="28"/>
          <w:szCs w:val="28"/>
        </w:rPr>
        <w:t xml:space="preserve">Подраздел 1.1 </w:t>
      </w:r>
      <w:r w:rsidRPr="00AA4ADB">
        <w:rPr>
          <w:sz w:val="28"/>
          <w:szCs w:val="28"/>
        </w:rPr>
        <w:t xml:space="preserve">заполняется </w:t>
      </w:r>
      <w:r w:rsidRPr="00AA4ADB">
        <w:rPr>
          <w:b/>
          <w:bCs/>
          <w:sz w:val="28"/>
          <w:szCs w:val="28"/>
        </w:rPr>
        <w:t>ежемесячно</w:t>
      </w:r>
      <w:r w:rsidRPr="00AA4ADB">
        <w:rPr>
          <w:sz w:val="28"/>
          <w:szCs w:val="28"/>
        </w:rPr>
        <w:t>:</w:t>
      </w:r>
    </w:p>
    <w:p w:rsidR="00335D38" w:rsidRPr="00AA4ADB" w:rsidRDefault="00335D38" w:rsidP="00AA4ADB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строки 01, 02, 03, 04, 06 – за отчетный месяц;</w:t>
      </w:r>
    </w:p>
    <w:p w:rsidR="00335D38" w:rsidRPr="00AA4ADB" w:rsidRDefault="00335D38" w:rsidP="00AA4ADB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строка 05 – на конец отчетного месяца;</w:t>
      </w:r>
    </w:p>
    <w:p w:rsidR="00335D38" w:rsidRPr="00AA4ADB" w:rsidRDefault="00335D38" w:rsidP="00AA4ADB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ADB">
        <w:rPr>
          <w:b/>
          <w:bCs/>
          <w:i/>
          <w:iCs/>
          <w:sz w:val="28"/>
          <w:szCs w:val="28"/>
        </w:rPr>
        <w:t xml:space="preserve">подраздел 1.2 </w:t>
      </w:r>
      <w:r w:rsidRPr="00AA4ADB">
        <w:rPr>
          <w:b/>
          <w:bCs/>
          <w:sz w:val="28"/>
          <w:szCs w:val="28"/>
        </w:rPr>
        <w:t>заполняется ежеквартально</w:t>
      </w:r>
      <w:r w:rsidRPr="00AA4ADB">
        <w:rPr>
          <w:sz w:val="28"/>
          <w:szCs w:val="28"/>
        </w:rPr>
        <w:t xml:space="preserve"> в отчете за март, июнь, сентябрь, декабрь: </w:t>
      </w:r>
    </w:p>
    <w:p w:rsidR="00335D38" w:rsidRPr="00AA4ADB" w:rsidRDefault="00335D38" w:rsidP="00AA4ADB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строки 07, 08, 09 – по состоянию на конец отчетного периода; </w:t>
      </w:r>
    </w:p>
    <w:p w:rsidR="00335D38" w:rsidRPr="00AA4ADB" w:rsidRDefault="00335D38" w:rsidP="00AA4ADB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строки 10, 11, 12, 13, 14 – за период с начала отчетного года.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Показатели по </w:t>
      </w:r>
      <w:r w:rsidRPr="00AA4ADB">
        <w:rPr>
          <w:b/>
          <w:bCs/>
          <w:i/>
          <w:iCs/>
          <w:sz w:val="28"/>
          <w:szCs w:val="28"/>
        </w:rPr>
        <w:t>разделам 2, 3, 4 и 5</w:t>
      </w:r>
      <w:r w:rsidRPr="00AA4ADB">
        <w:rPr>
          <w:sz w:val="28"/>
          <w:szCs w:val="28"/>
        </w:rPr>
        <w:t xml:space="preserve"> (кроме графы 5) заполняются ежемесячно за отчетный месяц; по графе 5 </w:t>
      </w:r>
      <w:r w:rsidRPr="00AA4ADB">
        <w:rPr>
          <w:b/>
          <w:bCs/>
          <w:i/>
          <w:iCs/>
          <w:sz w:val="28"/>
          <w:szCs w:val="28"/>
        </w:rPr>
        <w:t>раздела 5</w:t>
      </w:r>
      <w:r w:rsidRPr="00AA4ADB">
        <w:rPr>
          <w:sz w:val="28"/>
          <w:szCs w:val="28"/>
        </w:rPr>
        <w:t xml:space="preserve"> – ежемесячно на конец отчетного месяца.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Еще</w:t>
      </w:r>
      <w:r w:rsidRPr="00AA4ADB">
        <w:rPr>
          <w:b/>
          <w:bCs/>
          <w:sz w:val="28"/>
          <w:szCs w:val="28"/>
        </w:rPr>
        <w:t xml:space="preserve"> раз, обращаем Ваше внимание</w:t>
      </w:r>
      <w:r w:rsidRPr="00AA4ADB">
        <w:rPr>
          <w:sz w:val="28"/>
          <w:szCs w:val="28"/>
        </w:rPr>
        <w:t xml:space="preserve"> на изменение в 2024 году показателей по строкам 13 и 14: </w:t>
      </w:r>
    </w:p>
    <w:p w:rsidR="00335D38" w:rsidRPr="00AA4ADB" w:rsidRDefault="00335D38" w:rsidP="00AA4ADB">
      <w:pPr>
        <w:pStyle w:val="Default"/>
        <w:ind w:firstLine="709"/>
        <w:jc w:val="both"/>
        <w:rPr>
          <w:sz w:val="28"/>
          <w:szCs w:val="28"/>
        </w:rPr>
      </w:pPr>
      <w:r w:rsidRPr="00AA4ADB">
        <w:rPr>
          <w:b/>
          <w:bCs/>
          <w:sz w:val="28"/>
          <w:szCs w:val="28"/>
        </w:rPr>
        <w:t>Строка 13</w:t>
      </w:r>
      <w:r w:rsidRPr="00AA4ADB">
        <w:rPr>
          <w:sz w:val="28"/>
          <w:szCs w:val="28"/>
        </w:rPr>
        <w:t xml:space="preserve"> – Отгружено товаров собственного производства, выполнено работ и услуг собственными силами, </w:t>
      </w:r>
      <w:r w:rsidRPr="00AA4ADB">
        <w:rPr>
          <w:b/>
          <w:bCs/>
          <w:sz w:val="28"/>
          <w:szCs w:val="28"/>
        </w:rPr>
        <w:t>связанных с нанотехнологиями</w:t>
      </w:r>
      <w:r w:rsidRPr="00AA4ADB">
        <w:rPr>
          <w:sz w:val="28"/>
          <w:szCs w:val="28"/>
        </w:rPr>
        <w:t xml:space="preserve"> (выделяются данные в стоимостном выражении из общего объема отгруженных (переданных) товаров собственного производства (строка 01));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b/>
          <w:bCs/>
          <w:sz w:val="28"/>
          <w:szCs w:val="28"/>
        </w:rPr>
        <w:t>Строка 14</w:t>
      </w:r>
      <w:r w:rsidRPr="00AA4ADB">
        <w:rPr>
          <w:sz w:val="28"/>
          <w:szCs w:val="28"/>
        </w:rPr>
        <w:t xml:space="preserve"> – Оказывала ли Ваша организация в отчетном периоде </w:t>
      </w:r>
      <w:r w:rsidRPr="00AA4ADB">
        <w:rPr>
          <w:b/>
          <w:bCs/>
          <w:sz w:val="28"/>
          <w:szCs w:val="28"/>
        </w:rPr>
        <w:t>платные услуги населению</w:t>
      </w:r>
      <w:r w:rsidRPr="00AA4ADB">
        <w:rPr>
          <w:sz w:val="28"/>
          <w:szCs w:val="28"/>
        </w:rPr>
        <w:t xml:space="preserve"> (да – 1, нет – 0). В обязательном порядке делается отметка 1 в случае оказания организацией платных услуг населению за период с начала отчётного года (январь-март, январь–июнь, январь–сентябрь, январь-декабрь), либо отметка 0 в случае отсутствия оказания организацией платных услуг населению </w:t>
      </w:r>
      <w:r w:rsidRPr="00AA4ADB">
        <w:rPr>
          <w:b/>
          <w:bCs/>
          <w:sz w:val="28"/>
          <w:szCs w:val="28"/>
        </w:rPr>
        <w:t>за период с начала отчётного года</w:t>
      </w:r>
      <w:r w:rsidRPr="00AA4ADB">
        <w:rPr>
          <w:sz w:val="28"/>
          <w:szCs w:val="28"/>
        </w:rPr>
        <w:t>.</w:t>
      </w:r>
    </w:p>
    <w:p w:rsidR="00335D38" w:rsidRPr="00AA4ADB" w:rsidRDefault="00335D38" w:rsidP="00AA4A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4ADB">
        <w:rPr>
          <w:b/>
          <w:bCs/>
          <w:i/>
          <w:iCs/>
          <w:color w:val="auto"/>
          <w:sz w:val="28"/>
          <w:szCs w:val="28"/>
        </w:rPr>
        <w:t>В разделе 2</w:t>
      </w:r>
      <w:r w:rsidRPr="00AA4ADB">
        <w:rPr>
          <w:color w:val="auto"/>
          <w:sz w:val="28"/>
          <w:szCs w:val="28"/>
        </w:rPr>
        <w:t xml:space="preserve"> «Отгружено товаров собственного производства, выполнено работ и услуг собственными силами по фактическим видам деятельности» (</w:t>
      </w:r>
      <w:r w:rsidRPr="00AA4ADB">
        <w:rPr>
          <w:b/>
          <w:bCs/>
          <w:i/>
          <w:iCs/>
          <w:color w:val="auto"/>
          <w:sz w:val="28"/>
          <w:szCs w:val="28"/>
        </w:rPr>
        <w:t>далее – раздел 2</w:t>
      </w:r>
      <w:r w:rsidRPr="00AA4ADB">
        <w:rPr>
          <w:color w:val="auto"/>
          <w:sz w:val="28"/>
          <w:szCs w:val="28"/>
        </w:rPr>
        <w:t xml:space="preserve">) формы по свободным строкам приводится распределение данных об объеме отгруженных товаров собственного производства, выполненных работах и услугах собственными силами по фактическим видам деятельности организации в соответствии с </w:t>
      </w:r>
      <w:r w:rsidRPr="00AA4ADB">
        <w:rPr>
          <w:sz w:val="28"/>
          <w:szCs w:val="28"/>
        </w:rPr>
        <w:t xml:space="preserve">Общероссийским классификатором видов экономической деятельности ОК 029 – 2014 (КДЕС ред.2). </w:t>
      </w:r>
      <w:r w:rsidRPr="00AA4ADB">
        <w:rPr>
          <w:color w:val="auto"/>
          <w:sz w:val="28"/>
          <w:szCs w:val="28"/>
        </w:rPr>
        <w:t xml:space="preserve">Сумма данных, приведенных по свободным строкам, должна равняться данным строки 01 раздела 1. 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Для заполнения данных по строке 50 </w:t>
      </w:r>
      <w:r w:rsidRPr="00AA4ADB">
        <w:rPr>
          <w:b/>
          <w:bCs/>
          <w:i/>
          <w:iCs/>
          <w:sz w:val="28"/>
          <w:szCs w:val="28"/>
        </w:rPr>
        <w:t xml:space="preserve">раздела 5 </w:t>
      </w:r>
      <w:r w:rsidRPr="00AA4ADB">
        <w:rPr>
          <w:i/>
          <w:iCs/>
          <w:sz w:val="28"/>
          <w:szCs w:val="28"/>
        </w:rPr>
        <w:t>«</w:t>
      </w:r>
      <w:r w:rsidRPr="00AA4ADB">
        <w:rPr>
          <w:sz w:val="28"/>
          <w:szCs w:val="28"/>
        </w:rPr>
        <w:t>Производство и отгрузка по видам продукции» (</w:t>
      </w:r>
      <w:r w:rsidRPr="00AA4ADB">
        <w:rPr>
          <w:b/>
          <w:bCs/>
          <w:i/>
          <w:iCs/>
          <w:sz w:val="28"/>
          <w:szCs w:val="28"/>
        </w:rPr>
        <w:t xml:space="preserve">далее – раздел </w:t>
      </w:r>
      <w:r>
        <w:rPr>
          <w:b/>
          <w:bCs/>
          <w:i/>
          <w:iCs/>
          <w:sz w:val="28"/>
          <w:szCs w:val="28"/>
        </w:rPr>
        <w:t>5</w:t>
      </w:r>
      <w:r w:rsidRPr="00AA4ADB">
        <w:rPr>
          <w:sz w:val="28"/>
          <w:szCs w:val="28"/>
        </w:rPr>
        <w:t>) респондентами должна использоваться Номенклатура продукции и услуг по Общероссийскому классификатору продукции по видам экономической деятельности (ОКПД2) для разработки статистической информации в оперативном (ежемесячном) режиме в 2024 году, которая размещена на сайте Росстата по адресу: https://rosstat.gov.ru/ Главная/ Статистика/ Официальная статистика/ Предпринимательство/ Промышленное производство/ Информация: Номенклатура продукции и услуг/ Номенклатура для разработки статистической информации в оперативном (ежемесячном) режиме в 2024 году и по итогам за 2024 год.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В указанной номенклатуре также приведены арифметические и логические контроли по видам продукции в соответствии с ОКПД2.</w:t>
      </w:r>
    </w:p>
    <w:p w:rsidR="00335D38" w:rsidRPr="00AA4ADB" w:rsidRDefault="00335D38" w:rsidP="00AA4ADB">
      <w:pPr>
        <w:widowControl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В соответствии с иерархической системой построения </w:t>
      </w:r>
      <w:r w:rsidRPr="00AA4ADB">
        <w:rPr>
          <w:b/>
          <w:bCs/>
          <w:i/>
          <w:iCs/>
          <w:sz w:val="28"/>
          <w:szCs w:val="28"/>
        </w:rPr>
        <w:t>Номенклатуры</w:t>
      </w:r>
      <w:r w:rsidRPr="00AA4ADB">
        <w:rPr>
          <w:sz w:val="28"/>
          <w:szCs w:val="28"/>
        </w:rPr>
        <w:t xml:space="preserve"> коды продукции и услуг должны отражаться с полной детализацией, которая указана в графе 1 </w:t>
      </w:r>
      <w:r w:rsidRPr="00AA4ADB">
        <w:rPr>
          <w:b/>
          <w:bCs/>
          <w:i/>
          <w:iCs/>
          <w:sz w:val="28"/>
          <w:szCs w:val="28"/>
        </w:rPr>
        <w:t>Номенклатуры</w:t>
      </w:r>
      <w:r w:rsidRPr="00AA4ADB">
        <w:rPr>
          <w:sz w:val="28"/>
          <w:szCs w:val="28"/>
        </w:rPr>
        <w:t>.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При заполнении </w:t>
      </w:r>
      <w:r w:rsidRPr="00AA4ADB">
        <w:rPr>
          <w:b/>
          <w:bCs/>
          <w:i/>
          <w:iCs/>
          <w:sz w:val="28"/>
          <w:szCs w:val="28"/>
        </w:rPr>
        <w:t>стр.50</w:t>
      </w:r>
      <w:r w:rsidRPr="00AA4ADB">
        <w:rPr>
          <w:sz w:val="28"/>
          <w:szCs w:val="28"/>
        </w:rPr>
        <w:t xml:space="preserve"> следует обращать внимание на </w:t>
      </w:r>
      <w:r w:rsidRPr="00AA4ADB">
        <w:rPr>
          <w:b/>
          <w:bCs/>
          <w:i/>
          <w:iCs/>
          <w:sz w:val="28"/>
          <w:szCs w:val="28"/>
        </w:rPr>
        <w:t>единицы измерения</w:t>
      </w:r>
      <w:r w:rsidRPr="00AA4ADB">
        <w:rPr>
          <w:sz w:val="28"/>
          <w:szCs w:val="28"/>
        </w:rPr>
        <w:t xml:space="preserve"> продукции и их </w:t>
      </w:r>
      <w:r w:rsidRPr="00AA4ADB">
        <w:rPr>
          <w:b/>
          <w:bCs/>
          <w:i/>
          <w:iCs/>
          <w:sz w:val="28"/>
          <w:szCs w:val="28"/>
        </w:rPr>
        <w:t>значность</w:t>
      </w:r>
      <w:r w:rsidRPr="00AA4ADB">
        <w:rPr>
          <w:sz w:val="28"/>
          <w:szCs w:val="28"/>
        </w:rPr>
        <w:t xml:space="preserve">. Недопустимо отражение данных в единицах измерения, отличных от предусмотренных в графе 3 </w:t>
      </w:r>
      <w:r w:rsidRPr="00AA4ADB">
        <w:rPr>
          <w:b/>
          <w:bCs/>
          <w:i/>
          <w:iCs/>
          <w:sz w:val="28"/>
          <w:szCs w:val="28"/>
        </w:rPr>
        <w:t>Номенклатуры</w:t>
      </w:r>
      <w:r w:rsidRPr="00AA4ADB">
        <w:rPr>
          <w:sz w:val="28"/>
          <w:szCs w:val="28"/>
        </w:rPr>
        <w:t>, например, в килограммах, если требуется отражать данные в тоннах, в тыс. дкл, если требуется отражать данные в тыс.полулитров и т.п.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По отдельным видам продукции </w:t>
      </w:r>
      <w:r w:rsidRPr="00AA4ADB">
        <w:rPr>
          <w:b/>
          <w:bCs/>
          <w:i/>
          <w:iCs/>
          <w:sz w:val="28"/>
          <w:szCs w:val="28"/>
        </w:rPr>
        <w:t>Номенклатурой</w:t>
      </w:r>
      <w:r w:rsidRPr="00AA4ADB">
        <w:rPr>
          <w:sz w:val="28"/>
          <w:szCs w:val="28"/>
        </w:rPr>
        <w:t xml:space="preserve"> предусмотрен учет продукции в нескольких единицах измерения. 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Например, учет продукции 22.22.11 «Мешки и сумки, включая конические, из полимеров этилена» предусмотрен в двух единицах измерения: в «тыс.штук» и «тоннах», 22.29.26 «Фурнитура для мебели, транспортных средств и аналогичные пластмассовые изделия; статуэтки и прочие декоративные изделия пластмассовые» «в тоннах» и «тыс.руб.». В таких случаях необходимо приводить данные о выпуске продукции по всем единицам измерения, при этом данные о стоимости продукции в </w:t>
      </w:r>
      <w:r w:rsidRPr="00AA4ADB">
        <w:rPr>
          <w:b/>
          <w:bCs/>
          <w:i/>
          <w:iCs/>
          <w:sz w:val="28"/>
          <w:szCs w:val="28"/>
        </w:rPr>
        <w:t>разделе 5</w:t>
      </w:r>
      <w:r w:rsidRPr="00AA4ADB">
        <w:rPr>
          <w:sz w:val="28"/>
          <w:szCs w:val="28"/>
        </w:rPr>
        <w:t xml:space="preserve"> в графе 4 должны быть одинаковыми.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Если выпуск продукции осуществлялся по давальческой схеме, то графы 3 и 4 не заполняются. При этом следует помнить, что при осуществлении деятельности по давальческой схеме у предприятия-изготовителя в </w:t>
      </w:r>
      <w:r w:rsidRPr="00AA4ADB">
        <w:rPr>
          <w:b/>
          <w:bCs/>
          <w:i/>
          <w:iCs/>
          <w:sz w:val="28"/>
          <w:szCs w:val="28"/>
        </w:rPr>
        <w:t>разделе 1</w:t>
      </w:r>
      <w:r w:rsidRPr="00AA4ADB">
        <w:rPr>
          <w:sz w:val="28"/>
          <w:szCs w:val="28"/>
        </w:rPr>
        <w:t xml:space="preserve"> в строке 04 «Стоимость переработанного давальческого сырья и материалов» должна быть указана стоимость переработанного давальческого сырья и материалов. 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При заполнении </w:t>
      </w:r>
      <w:r w:rsidRPr="00AA4ADB">
        <w:rPr>
          <w:b/>
          <w:bCs/>
          <w:i/>
          <w:iCs/>
          <w:sz w:val="28"/>
          <w:szCs w:val="28"/>
        </w:rPr>
        <w:t>раздела 5</w:t>
      </w:r>
      <w:r w:rsidRPr="00AA4ADB">
        <w:rPr>
          <w:sz w:val="28"/>
          <w:szCs w:val="28"/>
        </w:rPr>
        <w:t xml:space="preserve"> должны соблюдаться следующие условия: 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– графа 2 ≥ графы 3;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– если заполнена графа 3, то должна быть заполнена графа 4.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В </w:t>
      </w:r>
      <w:r w:rsidRPr="00AA4ADB">
        <w:rPr>
          <w:b/>
          <w:bCs/>
          <w:i/>
          <w:iCs/>
          <w:sz w:val="28"/>
          <w:szCs w:val="28"/>
        </w:rPr>
        <w:t>разделе 5</w:t>
      </w:r>
      <w:r w:rsidRPr="00AA4ADB">
        <w:rPr>
          <w:sz w:val="28"/>
          <w:szCs w:val="28"/>
        </w:rPr>
        <w:t xml:space="preserve"> по всем кодам продукции по </w:t>
      </w:r>
      <w:r w:rsidRPr="00AA4ADB">
        <w:rPr>
          <w:b/>
          <w:bCs/>
          <w:i/>
          <w:iCs/>
          <w:sz w:val="28"/>
          <w:szCs w:val="28"/>
        </w:rPr>
        <w:t>стр. 50</w:t>
      </w:r>
      <w:r w:rsidRPr="00AA4ADB">
        <w:rPr>
          <w:sz w:val="28"/>
          <w:szCs w:val="28"/>
        </w:rPr>
        <w:t xml:space="preserve"> должен выполняться контроль: «остаток на конец предыдущего месяца + произведено за отчетный месяц – отгружено за отчетный месяц = остаток на конец отчетного месяца».</w:t>
      </w:r>
    </w:p>
    <w:p w:rsidR="00335D38" w:rsidRPr="00AA4ADB" w:rsidRDefault="00335D38" w:rsidP="00AA4ADB">
      <w:pPr>
        <w:ind w:firstLine="720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Если не выполняется данное равенство, респондентам необходимо предоставить пояснение отклонения от формулы (ошибка, уточнение в отчетах за предыдущий период и т.д.)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</w:p>
    <w:p w:rsidR="00335D38" w:rsidRPr="00AA4ADB" w:rsidRDefault="00335D38" w:rsidP="00AA4AD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A4ADB">
        <w:rPr>
          <w:b/>
          <w:bCs/>
          <w:i/>
          <w:iCs/>
          <w:sz w:val="28"/>
          <w:szCs w:val="28"/>
        </w:rPr>
        <w:t>При заполнении формы необходимо так же учесть: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– Организации, осуществляющие деятельность по договору простого товарищества отражают совместную деятельность в случае осуществления ими в рамках товарищества производства промышленной продукции. При этом данные о совместной деятельности указываются только </w:t>
      </w:r>
      <w:r w:rsidRPr="00AA4ADB">
        <w:rPr>
          <w:b/>
          <w:bCs/>
          <w:i/>
          <w:iCs/>
          <w:sz w:val="28"/>
          <w:szCs w:val="28"/>
        </w:rPr>
        <w:t>в разделе 5</w:t>
      </w:r>
      <w:r w:rsidRPr="00AA4ADB">
        <w:rPr>
          <w:sz w:val="28"/>
          <w:szCs w:val="28"/>
        </w:rPr>
        <w:t>.</w:t>
      </w:r>
    </w:p>
    <w:p w:rsidR="00335D38" w:rsidRPr="00AA4ADB" w:rsidRDefault="00335D38" w:rsidP="00AA4ADB">
      <w:pPr>
        <w:ind w:firstLine="720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– Коды ОКПД2 в </w:t>
      </w:r>
      <w:r w:rsidRPr="00AA4ADB">
        <w:rPr>
          <w:b/>
          <w:bCs/>
          <w:i/>
          <w:iCs/>
          <w:sz w:val="28"/>
          <w:szCs w:val="28"/>
        </w:rPr>
        <w:t>разделе 5</w:t>
      </w:r>
      <w:r w:rsidRPr="00AA4ADB">
        <w:rPr>
          <w:sz w:val="28"/>
          <w:szCs w:val="28"/>
        </w:rPr>
        <w:t xml:space="preserve"> олжны быть увязаны с кодами ОКВЭД2, отражаемыми в </w:t>
      </w:r>
      <w:r w:rsidRPr="00AA4ADB">
        <w:rPr>
          <w:b/>
          <w:bCs/>
          <w:i/>
          <w:iCs/>
          <w:sz w:val="28"/>
          <w:szCs w:val="28"/>
        </w:rPr>
        <w:t>разделе 2</w:t>
      </w:r>
      <w:r w:rsidRPr="00AA4ADB">
        <w:rPr>
          <w:sz w:val="28"/>
          <w:szCs w:val="28"/>
        </w:rPr>
        <w:t xml:space="preserve"> формы, т.е. при наличии данных в </w:t>
      </w:r>
      <w:r w:rsidRPr="00AA4ADB">
        <w:rPr>
          <w:b/>
          <w:bCs/>
          <w:i/>
          <w:iCs/>
          <w:sz w:val="28"/>
          <w:szCs w:val="28"/>
        </w:rPr>
        <w:t>разделе 5</w:t>
      </w:r>
      <w:r w:rsidRPr="00AA4ADB">
        <w:rPr>
          <w:sz w:val="28"/>
          <w:szCs w:val="28"/>
        </w:rPr>
        <w:t xml:space="preserve"> по </w:t>
      </w:r>
      <w:r w:rsidRPr="00AA4ADB">
        <w:rPr>
          <w:b/>
          <w:bCs/>
          <w:i/>
          <w:iCs/>
          <w:sz w:val="28"/>
          <w:szCs w:val="28"/>
        </w:rPr>
        <w:t>стр. 50</w:t>
      </w:r>
      <w:r w:rsidRPr="00AA4ADB">
        <w:rPr>
          <w:sz w:val="28"/>
          <w:szCs w:val="28"/>
        </w:rPr>
        <w:t xml:space="preserve"> в графе 2 «Отгружено (передано) за отчетный месяц – всего», в </w:t>
      </w:r>
      <w:r w:rsidRPr="00AA4ADB">
        <w:rPr>
          <w:b/>
          <w:bCs/>
          <w:i/>
          <w:iCs/>
          <w:sz w:val="28"/>
          <w:szCs w:val="28"/>
        </w:rPr>
        <w:t>разделе 1</w:t>
      </w:r>
      <w:r w:rsidRPr="00AA4ADB">
        <w:rPr>
          <w:sz w:val="28"/>
          <w:szCs w:val="28"/>
        </w:rPr>
        <w:t xml:space="preserve"> обязательно должна быть заполнена строка 01 «Отгружено товаров собственного производства, выполнено работ и услуг собственными силами», а в </w:t>
      </w:r>
      <w:r w:rsidRPr="00AA4ADB">
        <w:rPr>
          <w:b/>
          <w:bCs/>
          <w:i/>
          <w:iCs/>
          <w:sz w:val="28"/>
          <w:szCs w:val="28"/>
        </w:rPr>
        <w:t>разделе 2</w:t>
      </w:r>
      <w:r w:rsidRPr="00AA4ADB">
        <w:rPr>
          <w:sz w:val="28"/>
          <w:szCs w:val="28"/>
        </w:rPr>
        <w:t xml:space="preserve">– отражены данные по видам деятельности ОКВЭД2, в рамках которого производилась и отгружалась продукция. 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Согласно методологии, установлено соответствие для первых четырех знаков кодов между видом деятельности в ОКВЭД2 и результатом этого вида деятельности в виде продукции (услуги, работы) в ОКПД2.</w:t>
      </w:r>
    </w:p>
    <w:p w:rsidR="00335D38" w:rsidRPr="00AA4ADB" w:rsidRDefault="00335D38" w:rsidP="00AA4AD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A4ADB">
        <w:rPr>
          <w:sz w:val="28"/>
          <w:szCs w:val="28"/>
        </w:rPr>
        <w:t xml:space="preserve">– Данные об отгруженной продукции собственного производства указываются в </w:t>
      </w:r>
      <w:r w:rsidRPr="00AA4ADB">
        <w:rPr>
          <w:b/>
          <w:bCs/>
          <w:i/>
          <w:iCs/>
          <w:sz w:val="28"/>
          <w:szCs w:val="28"/>
        </w:rPr>
        <w:t>разделе 5</w:t>
      </w:r>
      <w:r w:rsidRPr="00AA4ADB">
        <w:rPr>
          <w:sz w:val="28"/>
          <w:szCs w:val="28"/>
        </w:rPr>
        <w:t xml:space="preserve"> по </w:t>
      </w:r>
      <w:r w:rsidRPr="00AA4ADB">
        <w:rPr>
          <w:b/>
          <w:bCs/>
          <w:i/>
          <w:iCs/>
          <w:sz w:val="28"/>
          <w:szCs w:val="28"/>
        </w:rPr>
        <w:t>стр. 50</w:t>
      </w:r>
      <w:r w:rsidRPr="00AA4ADB">
        <w:rPr>
          <w:sz w:val="28"/>
          <w:szCs w:val="28"/>
        </w:rPr>
        <w:t xml:space="preserve"> и не должны отражаться по </w:t>
      </w:r>
      <w:r w:rsidRPr="00AA4ADB">
        <w:rPr>
          <w:b/>
          <w:bCs/>
          <w:i/>
          <w:iCs/>
          <w:sz w:val="28"/>
          <w:szCs w:val="28"/>
        </w:rPr>
        <w:t>стр. 80 (оптовая торговля).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– Если в </w:t>
      </w:r>
      <w:r w:rsidRPr="00AA4ADB">
        <w:rPr>
          <w:b/>
          <w:bCs/>
          <w:i/>
          <w:iCs/>
          <w:sz w:val="28"/>
          <w:szCs w:val="28"/>
        </w:rPr>
        <w:t>разделе 2</w:t>
      </w:r>
      <w:r w:rsidRPr="00AA4ADB">
        <w:rPr>
          <w:sz w:val="28"/>
          <w:szCs w:val="28"/>
        </w:rPr>
        <w:t xml:space="preserve"> отражен код ОКВЭД2 49.41 (кроме аренды грузового автомобильного транспорта с водителем), то </w:t>
      </w:r>
      <w:r w:rsidRPr="00AA4ADB">
        <w:rPr>
          <w:b/>
          <w:bCs/>
          <w:i/>
          <w:iCs/>
          <w:sz w:val="28"/>
          <w:szCs w:val="28"/>
        </w:rPr>
        <w:t>в разделе 4</w:t>
      </w:r>
      <w:r w:rsidRPr="00AA4ADB">
        <w:rPr>
          <w:sz w:val="28"/>
          <w:szCs w:val="28"/>
        </w:rPr>
        <w:t xml:space="preserve"> «Перевозки грузов и грузооборот автомобильного транспорта» (далее – </w:t>
      </w:r>
      <w:r w:rsidRPr="00AA4ADB">
        <w:rPr>
          <w:b/>
          <w:bCs/>
          <w:i/>
          <w:iCs/>
          <w:sz w:val="28"/>
          <w:szCs w:val="28"/>
        </w:rPr>
        <w:t>раздел 4</w:t>
      </w:r>
      <w:r w:rsidRPr="00AA4ADB">
        <w:rPr>
          <w:sz w:val="28"/>
          <w:szCs w:val="28"/>
        </w:rPr>
        <w:t xml:space="preserve">) должны быть заполнены строки 29-32 и наоборот, если в </w:t>
      </w:r>
      <w:r w:rsidRPr="00AA4ADB">
        <w:rPr>
          <w:b/>
          <w:bCs/>
          <w:i/>
          <w:iCs/>
          <w:sz w:val="28"/>
          <w:szCs w:val="28"/>
        </w:rPr>
        <w:t>разделе 4</w:t>
      </w:r>
      <w:r w:rsidRPr="00AA4ADB">
        <w:rPr>
          <w:sz w:val="28"/>
          <w:szCs w:val="28"/>
        </w:rPr>
        <w:t xml:space="preserve"> показаны коммерческие перевозки, то во втором разделе необходимо указать код ОКВЭД2 49.41. Услуги трактора, экскаватора, автокрана к ОКВЭД2 49.41 не относится. Их следует относить к виду деятельности в зависимости от выполняемых работ.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– Организации, осуществляющие продажу товаров при заполнении отчета должны соблюдать контроль между строкой 2 </w:t>
      </w:r>
      <w:r w:rsidRPr="00AA4ADB">
        <w:rPr>
          <w:b/>
          <w:bCs/>
          <w:i/>
          <w:iCs/>
          <w:sz w:val="28"/>
          <w:szCs w:val="28"/>
        </w:rPr>
        <w:t>раздела 1</w:t>
      </w:r>
      <w:r w:rsidRPr="00AA4ADB">
        <w:rPr>
          <w:sz w:val="28"/>
          <w:szCs w:val="28"/>
        </w:rPr>
        <w:t xml:space="preserve"> (заполняется без НДС) и </w:t>
      </w:r>
      <w:r w:rsidRPr="00AA4ADB">
        <w:rPr>
          <w:b/>
          <w:bCs/>
          <w:i/>
          <w:iCs/>
          <w:sz w:val="28"/>
          <w:szCs w:val="28"/>
        </w:rPr>
        <w:t>разделом 3</w:t>
      </w:r>
      <w:r w:rsidRPr="00AA4ADB">
        <w:rPr>
          <w:sz w:val="28"/>
          <w:szCs w:val="28"/>
        </w:rPr>
        <w:t xml:space="preserve"> «Оптовая и розничная продажа, оборот общественного питания» (далее</w:t>
      </w:r>
      <w:r w:rsidRPr="00AA4ADB">
        <w:rPr>
          <w:i/>
          <w:iCs/>
          <w:sz w:val="28"/>
          <w:szCs w:val="28"/>
        </w:rPr>
        <w:t xml:space="preserve"> – </w:t>
      </w:r>
      <w:r w:rsidRPr="00AA4ADB">
        <w:rPr>
          <w:b/>
          <w:bCs/>
          <w:i/>
          <w:iCs/>
          <w:sz w:val="28"/>
          <w:szCs w:val="28"/>
        </w:rPr>
        <w:t>раздел 3</w:t>
      </w:r>
      <w:r w:rsidRPr="00AA4ADB">
        <w:rPr>
          <w:sz w:val="28"/>
          <w:szCs w:val="28"/>
        </w:rPr>
        <w:t xml:space="preserve">) (заполняется с учетом НДС, акцизов, аналогичных обязательных платежей). Строка 2 </w:t>
      </w:r>
      <w:r w:rsidRPr="00AA4ADB">
        <w:rPr>
          <w:b/>
          <w:bCs/>
          <w:i/>
          <w:iCs/>
          <w:sz w:val="28"/>
          <w:szCs w:val="28"/>
        </w:rPr>
        <w:t>раздела 1</w:t>
      </w:r>
      <w:r w:rsidRPr="00AA4ADB">
        <w:rPr>
          <w:sz w:val="28"/>
          <w:szCs w:val="28"/>
        </w:rPr>
        <w:t xml:space="preserve"> ≤ стр.22+стр.26 </w:t>
      </w:r>
      <w:r w:rsidRPr="00AA4ADB">
        <w:rPr>
          <w:b/>
          <w:bCs/>
          <w:i/>
          <w:iCs/>
          <w:sz w:val="28"/>
          <w:szCs w:val="28"/>
        </w:rPr>
        <w:t>раздела 3</w:t>
      </w:r>
      <w:r w:rsidRPr="00AA4ADB">
        <w:rPr>
          <w:sz w:val="28"/>
          <w:szCs w:val="28"/>
        </w:rPr>
        <w:t>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– Объемы продаж по объектам общественного питания, отраженные в </w:t>
      </w:r>
      <w:r w:rsidRPr="00AA4ADB">
        <w:rPr>
          <w:b/>
          <w:bCs/>
          <w:i/>
          <w:iCs/>
          <w:sz w:val="28"/>
          <w:szCs w:val="28"/>
        </w:rPr>
        <w:t>разделе 2</w:t>
      </w:r>
      <w:r w:rsidRPr="00AA4ADB">
        <w:rPr>
          <w:sz w:val="28"/>
          <w:szCs w:val="28"/>
        </w:rPr>
        <w:t xml:space="preserve"> с соответствующим кодом ОКВЭД2 (56.10 - 56.30), должны быть включены в данные по строке 27 </w:t>
      </w:r>
      <w:r w:rsidRPr="00AA4ADB">
        <w:rPr>
          <w:b/>
          <w:bCs/>
          <w:i/>
          <w:iCs/>
          <w:sz w:val="28"/>
          <w:szCs w:val="28"/>
        </w:rPr>
        <w:t>раздела 3</w:t>
      </w:r>
      <w:r w:rsidRPr="00AA4ADB">
        <w:rPr>
          <w:sz w:val="28"/>
          <w:szCs w:val="28"/>
        </w:rPr>
        <w:t xml:space="preserve"> и показаны с учетом НДС и иных платежей.</w:t>
      </w:r>
    </w:p>
    <w:p w:rsidR="00335D38" w:rsidRPr="00AA4ADB" w:rsidRDefault="00335D38" w:rsidP="00AA4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– В строку 22 </w:t>
      </w:r>
      <w:r w:rsidRPr="00AA4ADB">
        <w:rPr>
          <w:b/>
          <w:bCs/>
          <w:i/>
          <w:iCs/>
          <w:sz w:val="28"/>
          <w:szCs w:val="28"/>
        </w:rPr>
        <w:t>раздела 3</w:t>
      </w:r>
      <w:r w:rsidRPr="00AA4ADB">
        <w:rPr>
          <w:sz w:val="28"/>
          <w:szCs w:val="28"/>
        </w:rPr>
        <w:t xml:space="preserve"> должны включаться данные о продаже товаров собственного производства населению через торговые заведения, находящиеся на балансе организации. В случае отсутствия у организации торговых заведений в обороте розничной торговли учитывается реализация населению товаров собственного производства с применением контрольно-кассовой техники (например, со склада).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– По </w:t>
      </w:r>
      <w:hyperlink r:id="rId5" w:history="1">
        <w:r w:rsidRPr="00AA4ADB">
          <w:rPr>
            <w:sz w:val="28"/>
            <w:szCs w:val="28"/>
          </w:rPr>
          <w:t>строке 23</w:t>
        </w:r>
      </w:hyperlink>
      <w:r w:rsidRPr="00AA4ADB">
        <w:rPr>
          <w:sz w:val="28"/>
          <w:szCs w:val="28"/>
        </w:rPr>
        <w:t xml:space="preserve"> </w:t>
      </w:r>
      <w:r w:rsidRPr="00AA4ADB">
        <w:rPr>
          <w:b/>
          <w:bCs/>
          <w:i/>
          <w:iCs/>
          <w:sz w:val="28"/>
          <w:szCs w:val="28"/>
        </w:rPr>
        <w:t>раздела 3</w:t>
      </w:r>
      <w:r w:rsidRPr="00AA4ADB">
        <w:rPr>
          <w:sz w:val="28"/>
          <w:szCs w:val="28"/>
        </w:rPr>
        <w:t xml:space="preserve"> из общего оборота розничной торговли выделяются данные о выручке от продажи населению товаров при помощи информационно-телекоммуникационной сети "Интернет". Интернет-торговля – форма торговли, осуществляемая с использованием информационных систем, информационно-телекоммуникационной сети "Интернет" и электронных процедур.</w:t>
      </w:r>
    </w:p>
    <w:p w:rsidR="00335D38" w:rsidRPr="00AA4ADB" w:rsidRDefault="00335D38" w:rsidP="00AA4ADB">
      <w:pPr>
        <w:widowControl w:val="0"/>
        <w:ind w:firstLine="709"/>
        <w:jc w:val="both"/>
        <w:rPr>
          <w:sz w:val="28"/>
          <w:szCs w:val="28"/>
        </w:rPr>
      </w:pPr>
    </w:p>
    <w:p w:rsidR="00335D38" w:rsidRPr="00AA4ADB" w:rsidRDefault="00335D38" w:rsidP="00AA4ADB">
      <w:pPr>
        <w:widowControl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 xml:space="preserve">Для оперативного решения возникающих вопросов, в предоставленных данных отчета, необходимо в обязательном порядке указывать </w:t>
      </w:r>
      <w:r w:rsidRPr="00AA4ADB">
        <w:rPr>
          <w:b/>
          <w:bCs/>
          <w:sz w:val="28"/>
          <w:szCs w:val="28"/>
        </w:rPr>
        <w:t>актуальный контактный телефон</w:t>
      </w:r>
      <w:r w:rsidRPr="00AA4ADB">
        <w:rPr>
          <w:sz w:val="28"/>
          <w:szCs w:val="28"/>
        </w:rPr>
        <w:t xml:space="preserve"> исполнителя и </w:t>
      </w:r>
      <w:r w:rsidRPr="00AA4ADB">
        <w:rPr>
          <w:b/>
          <w:bCs/>
          <w:sz w:val="28"/>
          <w:szCs w:val="28"/>
        </w:rPr>
        <w:t>адрес электронной почты</w:t>
      </w:r>
      <w:r w:rsidRPr="00AA4ADB">
        <w:rPr>
          <w:sz w:val="28"/>
          <w:szCs w:val="28"/>
        </w:rPr>
        <w:t xml:space="preserve"> предприятия.</w:t>
      </w:r>
    </w:p>
    <w:p w:rsidR="00335D38" w:rsidRDefault="00335D38" w:rsidP="00AA4A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информируем, что обязанность представлять </w:t>
      </w:r>
      <w:r w:rsidRPr="00142B6C">
        <w:rPr>
          <w:sz w:val="28"/>
          <w:szCs w:val="28"/>
        </w:rPr>
        <w:t>первичны</w:t>
      </w:r>
      <w:r>
        <w:rPr>
          <w:sz w:val="28"/>
          <w:szCs w:val="28"/>
        </w:rPr>
        <w:t>е</w:t>
      </w:r>
      <w:r w:rsidRPr="00142B6C">
        <w:rPr>
          <w:sz w:val="28"/>
          <w:szCs w:val="28"/>
        </w:rPr>
        <w:t xml:space="preserve"> статистически</w:t>
      </w:r>
      <w:r>
        <w:rPr>
          <w:sz w:val="28"/>
          <w:szCs w:val="28"/>
        </w:rPr>
        <w:t>е</w:t>
      </w:r>
      <w:r w:rsidRPr="00142B6C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е органам Федеральной службы государственной статистики предусмотрена </w:t>
      </w:r>
      <w:r w:rsidRPr="00777028">
        <w:rPr>
          <w:sz w:val="28"/>
          <w:szCs w:val="28"/>
        </w:rPr>
        <w:t>Федеральным законом от 29</w:t>
      </w:r>
      <w:r>
        <w:rPr>
          <w:sz w:val="28"/>
          <w:szCs w:val="28"/>
        </w:rPr>
        <w:t xml:space="preserve"> ноября </w:t>
      </w:r>
      <w:r w:rsidRPr="00777028">
        <w:rPr>
          <w:sz w:val="28"/>
          <w:szCs w:val="28"/>
        </w:rPr>
        <w:t>2007</w:t>
      </w:r>
      <w:r>
        <w:rPr>
          <w:sz w:val="28"/>
          <w:szCs w:val="28"/>
        </w:rPr>
        <w:t>г.</w:t>
      </w:r>
      <w:r w:rsidRPr="00777028">
        <w:rPr>
          <w:sz w:val="28"/>
          <w:szCs w:val="28"/>
        </w:rPr>
        <w:t xml:space="preserve"> №282-ФЗ «Об официальном статистическом учете и системе государственной статистики в Российской Федерации»</w:t>
      </w:r>
      <w:r>
        <w:rPr>
          <w:sz w:val="28"/>
          <w:szCs w:val="28"/>
        </w:rPr>
        <w:t xml:space="preserve">. </w:t>
      </w:r>
      <w:r w:rsidRPr="00777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нарушение порядка представления </w:t>
      </w:r>
      <w:r w:rsidRPr="00142B6C">
        <w:rPr>
          <w:sz w:val="28"/>
          <w:szCs w:val="28"/>
        </w:rPr>
        <w:t>первичных статистических данных</w:t>
      </w:r>
      <w:r>
        <w:rPr>
          <w:sz w:val="28"/>
          <w:szCs w:val="28"/>
        </w:rPr>
        <w:t>,</w:t>
      </w:r>
      <w:r w:rsidRPr="00142B6C">
        <w:rPr>
          <w:sz w:val="28"/>
          <w:szCs w:val="28"/>
        </w:rPr>
        <w:t xml:space="preserve"> </w:t>
      </w:r>
      <w:r>
        <w:rPr>
          <w:sz w:val="28"/>
          <w:szCs w:val="28"/>
        </w:rPr>
        <w:t>или несвоевременное предо</w:t>
      </w:r>
      <w:r w:rsidRPr="00142B6C">
        <w:rPr>
          <w:sz w:val="28"/>
          <w:szCs w:val="28"/>
        </w:rPr>
        <w:t xml:space="preserve">ставление этих данных либо предоставление недостоверных первичных статистических данных </w:t>
      </w:r>
      <w:r>
        <w:rPr>
          <w:sz w:val="28"/>
          <w:szCs w:val="28"/>
        </w:rPr>
        <w:t>регламентируется</w:t>
      </w:r>
      <w:r w:rsidRPr="00142B6C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атьей </w:t>
      </w:r>
      <w:r w:rsidRPr="00142B6C">
        <w:rPr>
          <w:sz w:val="28"/>
          <w:szCs w:val="28"/>
        </w:rPr>
        <w:t>13.19. Кодекса Р</w:t>
      </w:r>
      <w:r>
        <w:rPr>
          <w:sz w:val="28"/>
          <w:szCs w:val="28"/>
        </w:rPr>
        <w:t xml:space="preserve">оссийской </w:t>
      </w:r>
      <w:r w:rsidRPr="00142B6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42B6C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(КоАП)</w:t>
      </w:r>
      <w:r w:rsidRPr="00142B6C">
        <w:rPr>
          <w:sz w:val="28"/>
          <w:szCs w:val="28"/>
        </w:rPr>
        <w:t>.</w:t>
      </w:r>
    </w:p>
    <w:p w:rsidR="00335D38" w:rsidRPr="00AA4ADB" w:rsidRDefault="00335D38" w:rsidP="00AA4AD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A4ADB">
        <w:rPr>
          <w:b/>
          <w:bCs/>
          <w:sz w:val="28"/>
          <w:szCs w:val="28"/>
        </w:rPr>
        <w:t>Просим уделить особое внимание достоверности, полноте заполнения и своевременности предоставления отчетности.</w:t>
      </w:r>
    </w:p>
    <w:p w:rsidR="00335D38" w:rsidRPr="00AA4ADB" w:rsidRDefault="00335D38" w:rsidP="00AA4ADB">
      <w:pPr>
        <w:widowControl w:val="0"/>
        <w:ind w:firstLine="709"/>
        <w:jc w:val="both"/>
        <w:rPr>
          <w:sz w:val="28"/>
          <w:szCs w:val="28"/>
        </w:rPr>
      </w:pPr>
      <w:r w:rsidRPr="00AA4ADB">
        <w:rPr>
          <w:sz w:val="28"/>
          <w:szCs w:val="28"/>
        </w:rPr>
        <w:t>При уточнении ранее предоставленных данных, выявлении ошибок в отчетах специалистами органов статистики или самостоятельно организациями, необходимо обязательно представить исправленный отчет с сопроводительным письмом о причине замены отчета.</w:t>
      </w:r>
    </w:p>
    <w:p w:rsidR="00335D38" w:rsidRPr="00AA4ADB" w:rsidRDefault="00335D38" w:rsidP="00AA4ADB">
      <w:pPr>
        <w:ind w:firstLine="720"/>
        <w:jc w:val="both"/>
        <w:rPr>
          <w:sz w:val="28"/>
          <w:szCs w:val="28"/>
        </w:rPr>
      </w:pPr>
    </w:p>
    <w:p w:rsidR="00335D38" w:rsidRPr="00AA4ADB" w:rsidRDefault="00335D38" w:rsidP="00AA4AD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A4ADB">
        <w:rPr>
          <w:b/>
          <w:bCs/>
          <w:i/>
          <w:iCs/>
          <w:sz w:val="28"/>
          <w:szCs w:val="28"/>
        </w:rPr>
        <w:t>Благодарим за сотрудничество!</w:t>
      </w:r>
    </w:p>
    <w:p w:rsidR="00335D38" w:rsidRPr="00AA4ADB" w:rsidRDefault="00335D38" w:rsidP="00AA4ADB">
      <w:pPr>
        <w:ind w:firstLine="709"/>
        <w:jc w:val="both"/>
        <w:rPr>
          <w:sz w:val="28"/>
          <w:szCs w:val="28"/>
        </w:rPr>
      </w:pPr>
    </w:p>
    <w:sectPr w:rsidR="00335D38" w:rsidRPr="00AA4ADB" w:rsidSect="00F3053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D4"/>
    <w:multiLevelType w:val="hybridMultilevel"/>
    <w:tmpl w:val="AEB6221A"/>
    <w:lvl w:ilvl="0" w:tplc="5EFE8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1427E"/>
    <w:multiLevelType w:val="hybridMultilevel"/>
    <w:tmpl w:val="1DD61016"/>
    <w:lvl w:ilvl="0" w:tplc="8D5806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F1FAB"/>
    <w:multiLevelType w:val="hybridMultilevel"/>
    <w:tmpl w:val="145A3F1E"/>
    <w:lvl w:ilvl="0" w:tplc="FEFC92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C76046C"/>
    <w:multiLevelType w:val="hybridMultilevel"/>
    <w:tmpl w:val="C122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C33A5B"/>
    <w:multiLevelType w:val="hybridMultilevel"/>
    <w:tmpl w:val="DB0AC8B8"/>
    <w:lvl w:ilvl="0" w:tplc="0419000D">
      <w:start w:val="1"/>
      <w:numFmt w:val="bullet"/>
      <w:lvlText w:val=""/>
      <w:lvlJc w:val="left"/>
      <w:pPr>
        <w:ind w:left="6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5">
    <w:nsid w:val="31890CD2"/>
    <w:multiLevelType w:val="hybridMultilevel"/>
    <w:tmpl w:val="33CC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6B48"/>
    <w:multiLevelType w:val="hybridMultilevel"/>
    <w:tmpl w:val="B516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B3D1C"/>
    <w:multiLevelType w:val="hybridMultilevel"/>
    <w:tmpl w:val="605E8BA2"/>
    <w:lvl w:ilvl="0" w:tplc="797C0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2E6059"/>
    <w:multiLevelType w:val="hybridMultilevel"/>
    <w:tmpl w:val="31002FEE"/>
    <w:lvl w:ilvl="0" w:tplc="D7D49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D71170"/>
    <w:multiLevelType w:val="hybridMultilevel"/>
    <w:tmpl w:val="3452A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942510F"/>
    <w:multiLevelType w:val="multilevel"/>
    <w:tmpl w:val="CAFE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11E3A"/>
    <w:multiLevelType w:val="hybridMultilevel"/>
    <w:tmpl w:val="B31E08DC"/>
    <w:lvl w:ilvl="0" w:tplc="FEFC926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D85E18"/>
    <w:multiLevelType w:val="hybridMultilevel"/>
    <w:tmpl w:val="3056AF88"/>
    <w:lvl w:ilvl="0" w:tplc="5B2E7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522421"/>
    <w:multiLevelType w:val="hybridMultilevel"/>
    <w:tmpl w:val="4D2E535A"/>
    <w:lvl w:ilvl="0" w:tplc="24623F2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52B4248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D3C56D8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3286895E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826CD49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C7644D6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4908376C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7D4E81E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2DEF7C6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5E2"/>
    <w:rsid w:val="00042ECA"/>
    <w:rsid w:val="00045C80"/>
    <w:rsid w:val="000547D2"/>
    <w:rsid w:val="0005678E"/>
    <w:rsid w:val="00062736"/>
    <w:rsid w:val="00086884"/>
    <w:rsid w:val="000A08FC"/>
    <w:rsid w:val="000B1837"/>
    <w:rsid w:val="000B572C"/>
    <w:rsid w:val="000B7DE6"/>
    <w:rsid w:val="000D16D5"/>
    <w:rsid w:val="000E3EBC"/>
    <w:rsid w:val="000F0E6B"/>
    <w:rsid w:val="000F7DA6"/>
    <w:rsid w:val="001003B5"/>
    <w:rsid w:val="00142B6C"/>
    <w:rsid w:val="00145135"/>
    <w:rsid w:val="00145631"/>
    <w:rsid w:val="0015175C"/>
    <w:rsid w:val="0018274B"/>
    <w:rsid w:val="00192989"/>
    <w:rsid w:val="0019528B"/>
    <w:rsid w:val="001A6F65"/>
    <w:rsid w:val="001D464C"/>
    <w:rsid w:val="001E135A"/>
    <w:rsid w:val="001F5291"/>
    <w:rsid w:val="00205799"/>
    <w:rsid w:val="00227194"/>
    <w:rsid w:val="00290DE6"/>
    <w:rsid w:val="002B3B81"/>
    <w:rsid w:val="002D0111"/>
    <w:rsid w:val="002D4F10"/>
    <w:rsid w:val="002E7186"/>
    <w:rsid w:val="002F01B2"/>
    <w:rsid w:val="003051A1"/>
    <w:rsid w:val="00335922"/>
    <w:rsid w:val="00335D38"/>
    <w:rsid w:val="003372CA"/>
    <w:rsid w:val="003473AA"/>
    <w:rsid w:val="00362657"/>
    <w:rsid w:val="0038704F"/>
    <w:rsid w:val="003A15AC"/>
    <w:rsid w:val="003D5E50"/>
    <w:rsid w:val="003E1D0F"/>
    <w:rsid w:val="003E3364"/>
    <w:rsid w:val="003F63E2"/>
    <w:rsid w:val="0040036E"/>
    <w:rsid w:val="00421E83"/>
    <w:rsid w:val="00441393"/>
    <w:rsid w:val="004423CF"/>
    <w:rsid w:val="00442B7F"/>
    <w:rsid w:val="00445CA1"/>
    <w:rsid w:val="004631F7"/>
    <w:rsid w:val="0046753D"/>
    <w:rsid w:val="00475EA3"/>
    <w:rsid w:val="0049126E"/>
    <w:rsid w:val="004A5AAB"/>
    <w:rsid w:val="004A717C"/>
    <w:rsid w:val="004B12A3"/>
    <w:rsid w:val="004D0549"/>
    <w:rsid w:val="004E206E"/>
    <w:rsid w:val="004E65E2"/>
    <w:rsid w:val="004F3F8C"/>
    <w:rsid w:val="005021F4"/>
    <w:rsid w:val="00502558"/>
    <w:rsid w:val="005104D1"/>
    <w:rsid w:val="0052534C"/>
    <w:rsid w:val="00525A55"/>
    <w:rsid w:val="005277E9"/>
    <w:rsid w:val="00532C8A"/>
    <w:rsid w:val="00533BD0"/>
    <w:rsid w:val="005363A0"/>
    <w:rsid w:val="005374B3"/>
    <w:rsid w:val="00556EEC"/>
    <w:rsid w:val="005B0932"/>
    <w:rsid w:val="005B28E2"/>
    <w:rsid w:val="005B4D29"/>
    <w:rsid w:val="005F5990"/>
    <w:rsid w:val="0061559F"/>
    <w:rsid w:val="00634332"/>
    <w:rsid w:val="00645D84"/>
    <w:rsid w:val="00677BC0"/>
    <w:rsid w:val="00691ED2"/>
    <w:rsid w:val="006C314E"/>
    <w:rsid w:val="006D359C"/>
    <w:rsid w:val="006E41B5"/>
    <w:rsid w:val="006E4550"/>
    <w:rsid w:val="006E6830"/>
    <w:rsid w:val="007425D0"/>
    <w:rsid w:val="00747D0F"/>
    <w:rsid w:val="00777028"/>
    <w:rsid w:val="00777FCD"/>
    <w:rsid w:val="007C3F76"/>
    <w:rsid w:val="007D684C"/>
    <w:rsid w:val="00843F60"/>
    <w:rsid w:val="00850E05"/>
    <w:rsid w:val="00854B7C"/>
    <w:rsid w:val="00861729"/>
    <w:rsid w:val="00862377"/>
    <w:rsid w:val="008706AD"/>
    <w:rsid w:val="008767C2"/>
    <w:rsid w:val="00886E62"/>
    <w:rsid w:val="008D50FD"/>
    <w:rsid w:val="008F36CB"/>
    <w:rsid w:val="008F74AC"/>
    <w:rsid w:val="0098138C"/>
    <w:rsid w:val="009A0E4B"/>
    <w:rsid w:val="009C462C"/>
    <w:rsid w:val="009F3374"/>
    <w:rsid w:val="00A012F8"/>
    <w:rsid w:val="00A24C5E"/>
    <w:rsid w:val="00A45C74"/>
    <w:rsid w:val="00A462A4"/>
    <w:rsid w:val="00A47C44"/>
    <w:rsid w:val="00A6003E"/>
    <w:rsid w:val="00A71E99"/>
    <w:rsid w:val="00A83444"/>
    <w:rsid w:val="00AA4ADB"/>
    <w:rsid w:val="00AB2BF1"/>
    <w:rsid w:val="00AD4851"/>
    <w:rsid w:val="00AE5073"/>
    <w:rsid w:val="00AF1BC6"/>
    <w:rsid w:val="00B01616"/>
    <w:rsid w:val="00B049D9"/>
    <w:rsid w:val="00B132B9"/>
    <w:rsid w:val="00B4477B"/>
    <w:rsid w:val="00B65570"/>
    <w:rsid w:val="00B666B2"/>
    <w:rsid w:val="00B76B51"/>
    <w:rsid w:val="00BC1988"/>
    <w:rsid w:val="00BC220D"/>
    <w:rsid w:val="00BD0FEE"/>
    <w:rsid w:val="00BE1C1A"/>
    <w:rsid w:val="00BF18FF"/>
    <w:rsid w:val="00BF367F"/>
    <w:rsid w:val="00C109CC"/>
    <w:rsid w:val="00C176C7"/>
    <w:rsid w:val="00C43036"/>
    <w:rsid w:val="00C546F4"/>
    <w:rsid w:val="00C82975"/>
    <w:rsid w:val="00C84D0B"/>
    <w:rsid w:val="00C9244D"/>
    <w:rsid w:val="00CB493C"/>
    <w:rsid w:val="00CC1445"/>
    <w:rsid w:val="00CC3597"/>
    <w:rsid w:val="00CC5E78"/>
    <w:rsid w:val="00CD65E3"/>
    <w:rsid w:val="00CD7FA4"/>
    <w:rsid w:val="00D00F41"/>
    <w:rsid w:val="00D166CB"/>
    <w:rsid w:val="00D25E1F"/>
    <w:rsid w:val="00D266F3"/>
    <w:rsid w:val="00D33639"/>
    <w:rsid w:val="00D34BAB"/>
    <w:rsid w:val="00D45ED6"/>
    <w:rsid w:val="00D60672"/>
    <w:rsid w:val="00D61ECC"/>
    <w:rsid w:val="00D7067C"/>
    <w:rsid w:val="00D73FFD"/>
    <w:rsid w:val="00D83524"/>
    <w:rsid w:val="00D91F59"/>
    <w:rsid w:val="00D97B4D"/>
    <w:rsid w:val="00DB364E"/>
    <w:rsid w:val="00DC3FF9"/>
    <w:rsid w:val="00DC7430"/>
    <w:rsid w:val="00DF17B2"/>
    <w:rsid w:val="00DF6E23"/>
    <w:rsid w:val="00E0175B"/>
    <w:rsid w:val="00E16001"/>
    <w:rsid w:val="00E165FE"/>
    <w:rsid w:val="00E24F7B"/>
    <w:rsid w:val="00E32F98"/>
    <w:rsid w:val="00E35ABD"/>
    <w:rsid w:val="00E3772D"/>
    <w:rsid w:val="00E63F1A"/>
    <w:rsid w:val="00E93462"/>
    <w:rsid w:val="00EA0E55"/>
    <w:rsid w:val="00EB455F"/>
    <w:rsid w:val="00EC43AA"/>
    <w:rsid w:val="00EE6CCD"/>
    <w:rsid w:val="00EF2C41"/>
    <w:rsid w:val="00F16DF0"/>
    <w:rsid w:val="00F16F61"/>
    <w:rsid w:val="00F30535"/>
    <w:rsid w:val="00F4245C"/>
    <w:rsid w:val="00F965E1"/>
    <w:rsid w:val="00FA1FC2"/>
    <w:rsid w:val="00FB619C"/>
    <w:rsid w:val="00FC07CE"/>
    <w:rsid w:val="00FC39E8"/>
    <w:rsid w:val="00F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E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75C"/>
    <w:pPr>
      <w:ind w:left="720"/>
    </w:pPr>
  </w:style>
  <w:style w:type="paragraph" w:customStyle="1" w:styleId="Default">
    <w:name w:val="Default"/>
    <w:uiPriority w:val="99"/>
    <w:rsid w:val="00777F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F2C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F2C41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FC39E8"/>
    <w:rPr>
      <w:b/>
      <w:bCs/>
    </w:rPr>
  </w:style>
  <w:style w:type="paragraph" w:styleId="NoSpacing">
    <w:name w:val="No Spacing"/>
    <w:uiPriority w:val="99"/>
    <w:qFormat/>
    <w:rsid w:val="008D50F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1D30BFCAC55138030DCDF7DBC73C2D4293E90D6ED8D32A80E2B9DA64EED3E8EC560532DE6054B0D23B56A9B18B2E99D941D7772A6A8D6Dc2w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4</Pages>
  <Words>1698</Words>
  <Characters>9679</Characters>
  <Application>Microsoft Office Outlook</Application>
  <DocSecurity>0</DocSecurity>
  <Lines>0</Lines>
  <Paragraphs>0</Paragraphs>
  <ScaleCrop>false</ScaleCrop>
  <Company>РОССТАТ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заполнения формы </dc:title>
  <dc:subject/>
  <dc:creator>Васильева Лариса Петровна</dc:creator>
  <cp:keywords/>
  <dc:description/>
  <cp:lastModifiedBy>V.Rudenko</cp:lastModifiedBy>
  <cp:revision>13</cp:revision>
  <dcterms:created xsi:type="dcterms:W3CDTF">2024-09-06T11:42:00Z</dcterms:created>
  <dcterms:modified xsi:type="dcterms:W3CDTF">2024-09-11T12:21:00Z</dcterms:modified>
</cp:coreProperties>
</file>